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9E" w:rsidRPr="008D04AC" w:rsidRDefault="008D04AC" w:rsidP="008D04AC">
      <w:pPr>
        <w:pStyle w:val="DocumentTitle-HCG"/>
        <w:rPr>
          <w:szCs w:val="32"/>
        </w:rPr>
      </w:pPr>
      <w:r>
        <w:rPr>
          <w:szCs w:val="32"/>
        </w:rPr>
        <w:t>SOP: IRB Meeting Scheduling and Notification</w:t>
      </w:r>
    </w:p>
    <w:p w:rsidR="00B3139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schedule and notify individuals of convened meetings.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there are approximately fewer </w:t>
      </w:r>
      <w:bookmarkStart w:id="0" w:name="_GoBack"/>
      <w:r w:rsidRPr="005576FE">
        <w:rPr>
          <w:rFonts w:cs="Arial"/>
          <w:sz w:val="22"/>
          <w:szCs w:val="22"/>
        </w:rPr>
        <w:t xml:space="preserve">than three months of </w:t>
      </w:r>
      <w:bookmarkEnd w:id="0"/>
      <w:r>
        <w:rPr>
          <w:rFonts w:cs="Arial"/>
          <w:sz w:val="22"/>
          <w:szCs w:val="22"/>
        </w:rPr>
        <w:t>meetings on the current schedule.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meetings are scheduled and individuals in the organization are notified of the schedule.</w:t>
      </w:r>
    </w:p>
    <w:p w:rsidR="00B3139E" w:rsidRDefault="008D04AC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B3139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B3139E" w:rsidRPr="005576F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Whenever possible the IRB schedules </w:t>
      </w:r>
      <w:r w:rsidRPr="005576FE">
        <w:rPr>
          <w:rFonts w:cs="Arial"/>
          <w:sz w:val="22"/>
          <w:szCs w:val="22"/>
        </w:rPr>
        <w:t>meetings at least three months days in advance.</w:t>
      </w:r>
    </w:p>
    <w:p w:rsidR="00B3139E" w:rsidRPr="005576F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Scheduled meetings are to occur at intervals appropriate for the quantity, complexity, and frequency of required actions, and to permit adequate oversight of the progress of approved research.</w:t>
      </w:r>
    </w:p>
    <w:p w:rsidR="00B3139E" w:rsidRPr="005576F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Additional meetings may be scheduled on an ad hoc basis.</w:t>
      </w:r>
    </w:p>
    <w:p w:rsidR="00B3139E" w:rsidRPr="005576F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RESPONSIBILITIES</w:t>
      </w:r>
    </w:p>
    <w:p w:rsidR="00B3139E" w:rsidRPr="005576F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The IRB manager carries out these procedures.</w:t>
      </w:r>
    </w:p>
    <w:p w:rsidR="00B3139E" w:rsidRPr="005576F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PROCEDURE</w:t>
      </w:r>
    </w:p>
    <w:p w:rsidR="00B3139E" w:rsidRPr="005576F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 w:rsidRPr="005576FE">
        <w:rPr>
          <w:rFonts w:cs="Arial"/>
          <w:sz w:val="22"/>
          <w:szCs w:val="22"/>
        </w:rPr>
        <w:t>Create a schedule of meetings for each IRB.</w:t>
      </w:r>
    </w:p>
    <w:p w:rsidR="00B3139E" w:rsidRPr="005576FE" w:rsidRDefault="008D04AC">
      <w:pPr>
        <w:pStyle w:val="SOPLevel3"/>
        <w:spacing w:line="276" w:lineRule="auto"/>
        <w:rPr>
          <w:sz w:val="22"/>
          <w:szCs w:val="22"/>
        </w:rPr>
      </w:pPr>
      <w:r w:rsidRPr="005576FE">
        <w:rPr>
          <w:sz w:val="22"/>
          <w:szCs w:val="22"/>
        </w:rPr>
        <w:t xml:space="preserve">Execute the “Create Meeting” </w:t>
      </w:r>
      <w:proofErr w:type="spellStart"/>
      <w:r w:rsidRPr="005576FE">
        <w:rPr>
          <w:sz w:val="22"/>
          <w:szCs w:val="22"/>
        </w:rPr>
        <w:t>SmartForm</w:t>
      </w:r>
      <w:proofErr w:type="spellEnd"/>
      <w:r w:rsidRPr="005576FE">
        <w:rPr>
          <w:sz w:val="22"/>
          <w:szCs w:val="22"/>
        </w:rPr>
        <w:t xml:space="preserve"> in the system for each scheduled meeting.  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Post the schedule on the organization’s Web site.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following individuals of the updated schedule with an email providing a link to the IRB Web page with the schedule information:</w:t>
      </w:r>
    </w:p>
    <w:p w:rsidR="00B3139E" w:rsidRDefault="008D04AC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IRB members.</w:t>
      </w:r>
    </w:p>
    <w:p w:rsidR="00B3139E" w:rsidRDefault="008D04AC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Investigators and research staff on the IRB email list.</w:t>
      </w:r>
    </w:p>
    <w:p w:rsidR="00B3139E" w:rsidRDefault="008D04AC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  <w:u w:val="double"/>
        </w:rPr>
        <w:t>Institutional Official / Organizational Official (IO/OO</w:t>
      </w:r>
      <w:r>
        <w:rPr>
          <w:sz w:val="22"/>
          <w:szCs w:val="22"/>
        </w:rPr>
        <w:t>) or designee.</w:t>
      </w:r>
    </w:p>
    <w:p w:rsidR="00B3139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B3139E" w:rsidRDefault="008D04AC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ICH-GCP E6 3.3.2</w:t>
      </w:r>
    </w:p>
    <w:p w:rsidR="00B3139E" w:rsidRDefault="008D04A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I-9, II.2.D</w:t>
      </w:r>
    </w:p>
    <w:sectPr w:rsidR="00B3139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9A" w:rsidRDefault="006F2B9A" w:rsidP="00855EE6">
      <w:pPr>
        <w:spacing w:after="0" w:line="240" w:lineRule="auto"/>
      </w:pPr>
      <w:r>
        <w:separator/>
      </w:r>
    </w:p>
  </w:endnote>
  <w:endnote w:type="continuationSeparator" w:id="0">
    <w:p w:rsidR="006F2B9A" w:rsidRDefault="006F2B9A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9E" w:rsidRDefault="008D04AC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6034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6034D">
      <w:rPr>
        <w:b/>
        <w:bCs/>
        <w:noProof/>
      </w:rPr>
      <w:t>2</w:t>
    </w:r>
    <w:r>
      <w:rPr>
        <w:b/>
        <w:bCs/>
      </w:rPr>
      <w:fldChar w:fldCharType="end"/>
    </w:r>
  </w:p>
  <w:p w:rsidR="00B3139E" w:rsidRDefault="008D04AC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B3139E" w:rsidRDefault="008D04AC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B3139E" w:rsidRDefault="008D04AC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AC" w:rsidRPr="005576FE" w:rsidRDefault="008D04AC" w:rsidP="005576F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576F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576FE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9A" w:rsidRDefault="006F2B9A" w:rsidP="00855EE6">
      <w:pPr>
        <w:spacing w:after="0" w:line="240" w:lineRule="auto"/>
      </w:pPr>
      <w:r>
        <w:separator/>
      </w:r>
    </w:p>
  </w:footnote>
  <w:footnote w:type="continuationSeparator" w:id="0">
    <w:p w:rsidR="006F2B9A" w:rsidRDefault="006F2B9A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9E" w:rsidRDefault="008D04AC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39E" w:rsidRDefault="00B3139E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8D04AC" w:rsidRPr="0007408F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D04AC" w:rsidRPr="0007408F" w:rsidRDefault="008D04AC" w:rsidP="008D04AC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1882F9A2" wp14:editId="73AF8308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D04AC" w:rsidRPr="0007408F" w:rsidRDefault="008D04AC" w:rsidP="008D04AC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IRB Meet</w:t>
          </w:r>
          <w:r w:rsidR="005576FE">
            <w:rPr>
              <w:rStyle w:val="SOPLeader"/>
              <w:rFonts w:cs="Arial"/>
            </w:rPr>
            <w:t>ing Scheduling and Notification</w:t>
          </w:r>
        </w:p>
      </w:tc>
    </w:tr>
    <w:tr w:rsidR="008D04AC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D04AC" w:rsidRPr="0007408F" w:rsidRDefault="008D04AC" w:rsidP="008D04AC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8D04AC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D04AC" w:rsidRPr="0007408F" w:rsidRDefault="008D04AC" w:rsidP="008D04AC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84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8D04AC" w:rsidRPr="0007408F" w:rsidRDefault="008D04AC" w:rsidP="008D04A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5576FE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5576FE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B3139E" w:rsidRDefault="00B313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73852"/>
    <w:rsid w:val="00082AFF"/>
    <w:rsid w:val="00095BC7"/>
    <w:rsid w:val="00097C68"/>
    <w:rsid w:val="000B3ABE"/>
    <w:rsid w:val="000E220B"/>
    <w:rsid w:val="000F5F1B"/>
    <w:rsid w:val="00112F1A"/>
    <w:rsid w:val="00150F7C"/>
    <w:rsid w:val="001D368A"/>
    <w:rsid w:val="00216912"/>
    <w:rsid w:val="00217665"/>
    <w:rsid w:val="00272E9B"/>
    <w:rsid w:val="002A0DD4"/>
    <w:rsid w:val="002B681F"/>
    <w:rsid w:val="002D04DD"/>
    <w:rsid w:val="002D6088"/>
    <w:rsid w:val="00326316"/>
    <w:rsid w:val="00326970"/>
    <w:rsid w:val="0034262A"/>
    <w:rsid w:val="0035722D"/>
    <w:rsid w:val="0036034D"/>
    <w:rsid w:val="00376FA0"/>
    <w:rsid w:val="003859B2"/>
    <w:rsid w:val="00397D6B"/>
    <w:rsid w:val="003E5AE2"/>
    <w:rsid w:val="003F35F5"/>
    <w:rsid w:val="00413B76"/>
    <w:rsid w:val="00432636"/>
    <w:rsid w:val="00433C87"/>
    <w:rsid w:val="004709CB"/>
    <w:rsid w:val="004A7B1A"/>
    <w:rsid w:val="004B05DE"/>
    <w:rsid w:val="004E2CCD"/>
    <w:rsid w:val="00512CDD"/>
    <w:rsid w:val="005576FE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6F2B9A"/>
    <w:rsid w:val="007469E0"/>
    <w:rsid w:val="0076301A"/>
    <w:rsid w:val="007D70CC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04AC"/>
    <w:rsid w:val="00915462"/>
    <w:rsid w:val="00917358"/>
    <w:rsid w:val="009C1EE8"/>
    <w:rsid w:val="00AC2F0C"/>
    <w:rsid w:val="00AC4ED1"/>
    <w:rsid w:val="00AE4325"/>
    <w:rsid w:val="00AF1BFC"/>
    <w:rsid w:val="00B23768"/>
    <w:rsid w:val="00B23D93"/>
    <w:rsid w:val="00B3139E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64D4D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8D04AC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8D04AC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8D04AC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8D04A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45A80-8329-467B-9547-8A3CC4FB4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c2ea0786-c62f-461e-8137-5f11c0e7714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385ab65-09ca-4886-862c-f1f34fdd81c1"/>
  </ds:schemaRefs>
</ds:datastoreItem>
</file>

<file path=customXml/itemProps4.xml><?xml version="1.0" encoding="utf-8"?>
<ds:datastoreItem xmlns:ds="http://schemas.openxmlformats.org/officeDocument/2006/customXml" ds:itemID="{FECE7CCE-9B94-4504-84A5-6084AEC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2023-06-14T21:16:00Z</dcterms:created>
  <dcterms:modified xsi:type="dcterms:W3CDTF">2023-06-14T21:16:00Z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